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6FAC7B9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E0F8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CE0F8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F8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C1B3A2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>30 247,70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A72DE2">
        <w:trPr>
          <w:trHeight w:val="9164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2265E7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406C92AA" w14:textId="3A3EE133" w:rsidR="005D1BF9" w:rsidRPr="002265E7" w:rsidRDefault="003B5151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332</w:t>
            </w:r>
            <w:r w:rsidR="00CE69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785 020,30</w:t>
            </w:r>
            <w:r w:rsidR="00F22F1A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2265E7" w:rsidRPr="002265E7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2265E7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CE69C3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20</w:t>
                  </w:r>
                  <w:r w:rsidR="00666166"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24</w:t>
                  </w:r>
                  <w:r w:rsidR="005D1BF9"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2265E7" w:rsidRPr="002265E7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B27FB4" w:rsidRPr="002265E7" w:rsidRDefault="00B27FB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</w:t>
                  </w:r>
                  <w:r w:rsidR="006D56E3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36611EA3" w:rsidR="00B27FB4" w:rsidRPr="003C36E3" w:rsidRDefault="00CE69C3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79 603 660,61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0D084A4E" w:rsidR="00B27FB4" w:rsidRPr="003C36E3" w:rsidRDefault="003B515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66 600 592,12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4AE9E0BD" w:rsidR="00B27FB4" w:rsidRPr="00CE69C3" w:rsidRDefault="003B5151" w:rsidP="002265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62 936 175,65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7B0D7719" w:rsidR="00B27FB4" w:rsidRPr="002265E7" w:rsidRDefault="00931E9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4155E6F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2815C2D4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</w:tr>
            <w:tr w:rsidR="00931E94" w:rsidRPr="002265E7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6B868050" w:rsidR="00931E94" w:rsidRPr="00EB427D" w:rsidRDefault="00CE69C3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54 286 472,43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623C89C9" w:rsidR="00931E94" w:rsidRPr="002265E7" w:rsidRDefault="003C36E3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41 523 403,94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770D196E" w:rsidR="00931E94" w:rsidRPr="00CE69C3" w:rsidRDefault="003C36E3" w:rsidP="00931E9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37 858 987,47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F155D54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506944A3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6517603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</w:tr>
            <w:tr w:rsidR="002265E7" w:rsidRPr="002265E7" w14:paraId="38E1EE0E" w14:textId="77777777" w:rsidTr="00931E94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E467AF" w:rsidRPr="002265E7" w:rsidRDefault="00E467AF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40E2C11A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</w:t>
                  </w:r>
                  <w:r w:rsid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317 188,18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D832DEC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C8597FD" w:rsidR="00E467AF" w:rsidRPr="00CE69C3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689BC33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68BDFC0D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5048CFC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265E7" w:rsidRPr="002265E7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77777777" w:rsidR="000F0541" w:rsidRPr="002265E7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2265E7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7FAAA490" w:rsidR="000F0541" w:rsidRPr="002265E7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35F0E7EC" w:rsidR="000F0541" w:rsidRPr="002265E7" w:rsidRDefault="00A9344A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CE69C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2265E7" w:rsidRPr="002265E7" w14:paraId="55DB1045" w14:textId="77777777" w:rsidTr="00931E94">
              <w:trPr>
                <w:trHeight w:val="1381"/>
              </w:trPr>
              <w:tc>
                <w:tcPr>
                  <w:tcW w:w="1304" w:type="dxa"/>
                </w:tcPr>
                <w:p w14:paraId="3E9FEBC9" w14:textId="149D2A22" w:rsidR="00F4496E" w:rsidRPr="002265E7" w:rsidRDefault="00F4496E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2265E7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39B5A774" w:rsidR="00F4496E" w:rsidRPr="002265E7" w:rsidRDefault="002C53C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159 782,67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4E316CE" w:rsidR="00F4496E" w:rsidRPr="002265E7" w:rsidRDefault="00666166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200083F9" w:rsidR="00F4496E" w:rsidRPr="00CE69C3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5" w:type="dxa"/>
                </w:tcPr>
                <w:p w14:paraId="7CF03C4C" w14:textId="77777777" w:rsidR="0032037C" w:rsidRPr="002265E7" w:rsidRDefault="0032037C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431DB5F7" w:rsidR="00666166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159" w:type="dxa"/>
                </w:tcPr>
                <w:p w14:paraId="5C2BA52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D839DB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314C4ED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B646764" w14:textId="1D460AB0" w:rsidR="00A4774A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6" w:type="dxa"/>
                </w:tcPr>
                <w:p w14:paraId="4788359E" w14:textId="236E8F68" w:rsidR="00666166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38047B8" w14:textId="77777777" w:rsidR="00122422" w:rsidRPr="002265E7" w:rsidRDefault="00122422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A183F9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7DD45558" w14:textId="7F4B982E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</w:tr>
            <w:tr w:rsidR="00122422" w:rsidRPr="002265E7" w14:paraId="3CEF6FF7" w14:textId="77777777" w:rsidTr="00931E94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122422" w:rsidRPr="002265E7" w:rsidRDefault="00122422" w:rsidP="00122422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395E9B17" w:rsidR="00122422" w:rsidRPr="002265E7" w:rsidRDefault="00CE69C3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81 280 243,28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663A5A8F" w:rsidR="00122422" w:rsidRPr="002265E7" w:rsidRDefault="003C36E3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66 951 515,58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4CD111A2" w:rsidR="00122422" w:rsidRPr="00CE69C3" w:rsidRDefault="003C36E3" w:rsidP="00122422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E69C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63 287 099,11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50DD6195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7DA8172B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C260CC9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</w:tr>
          </w:tbl>
          <w:p w14:paraId="48A729E7" w14:textId="49C1DF26" w:rsidR="00C82269" w:rsidRPr="002265E7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1A315C6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2B2D40D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517DE17F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4098D4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A33F91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6E80621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CF40A5E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D7DFA9F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9CAFB3D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C290895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133436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7250B11" w14:textId="10F93EE2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4EE248A" w14:textId="7EFCA410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D2EE32A" w14:textId="4ACD84B8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969651A" w14:textId="6B58839D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E3FF5ED" w14:textId="2CC6F155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473415D4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C214DD" w:rsidRPr="002265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08803AD6" w14:textId="2DFEE668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3A54CE12" w:rsidR="00C73BB5" w:rsidRPr="002265E7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2BD92A3A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394AA7FF" w:rsidR="00A60E62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4C3CFCCF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59AE4018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280FA3" w:rsidRPr="002265E7">
        <w:rPr>
          <w:color w:val="auto"/>
          <w:spacing w:val="0"/>
          <w:sz w:val="28"/>
          <w:szCs w:val="28"/>
        </w:rPr>
        <w:t xml:space="preserve"> </w:t>
      </w:r>
      <w:r w:rsidR="00061A74">
        <w:rPr>
          <w:color w:val="auto"/>
          <w:spacing w:val="0"/>
          <w:sz w:val="28"/>
          <w:szCs w:val="28"/>
        </w:rPr>
        <w:t>329</w:t>
      </w:r>
      <w:r w:rsidR="00C51C52">
        <w:rPr>
          <w:color w:val="auto"/>
          <w:spacing w:val="0"/>
          <w:sz w:val="28"/>
          <w:szCs w:val="28"/>
        </w:rPr>
        <w:t> 454 835,56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C73C113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16 490 872,66</w:t>
            </w:r>
          </w:p>
        </w:tc>
        <w:tc>
          <w:tcPr>
            <w:tcW w:w="713" w:type="pct"/>
            <w:vAlign w:val="center"/>
          </w:tcPr>
          <w:p w14:paraId="5E1D9B43" w14:textId="012549A2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46 280 263,94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4C0F7A7E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16 677 874,01</w:t>
            </w:r>
          </w:p>
        </w:tc>
        <w:tc>
          <w:tcPr>
            <w:tcW w:w="651" w:type="pct"/>
            <w:vAlign w:val="center"/>
          </w:tcPr>
          <w:p w14:paraId="58B74972" w14:textId="705D5E92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28677BA" w14:textId="319FEC68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79 603 660,61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DDBACAF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9 701 690,73</w:t>
            </w:r>
          </w:p>
        </w:tc>
        <w:tc>
          <w:tcPr>
            <w:tcW w:w="713" w:type="pct"/>
            <w:vAlign w:val="center"/>
          </w:tcPr>
          <w:p w14:paraId="6B51F576" w14:textId="41270755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30 550 845,87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055254D5" w:rsidR="00292587" w:rsidRPr="002265E7" w:rsidRDefault="004834B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13 879</w:t>
            </w:r>
            <w:r w:rsidR="00CD7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285,83</w:t>
            </w:r>
          </w:p>
        </w:tc>
        <w:tc>
          <w:tcPr>
            <w:tcW w:w="651" w:type="pct"/>
            <w:vAlign w:val="center"/>
          </w:tcPr>
          <w:p w14:paraId="02132C81" w14:textId="33E359DD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FB29C8B" w14:textId="24CA95DB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54 286 472,43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0D2754F3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6 789 181,93</w:t>
            </w:r>
          </w:p>
        </w:tc>
        <w:tc>
          <w:tcPr>
            <w:tcW w:w="713" w:type="pct"/>
            <w:vAlign w:val="center"/>
          </w:tcPr>
          <w:p w14:paraId="2CB2C810" w14:textId="6F665EE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15 729 418,07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32F4380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2 798 588,18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C574D35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25 317 188,18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01CD4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15 525 918,65</w:t>
            </w:r>
          </w:p>
        </w:tc>
        <w:tc>
          <w:tcPr>
            <w:tcW w:w="713" w:type="pct"/>
            <w:vAlign w:val="center"/>
          </w:tcPr>
          <w:p w14:paraId="3FFC1DCC" w14:textId="3B0D98A4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38 055 173,02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1191953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13 019 500,45</w:t>
            </w:r>
          </w:p>
        </w:tc>
        <w:tc>
          <w:tcPr>
            <w:tcW w:w="651" w:type="pct"/>
            <w:vAlign w:val="center"/>
          </w:tcPr>
          <w:p w14:paraId="4C4D09BA" w14:textId="6E91D6C3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1083087" w14:textId="6669D8E8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66 600 592,12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549B64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629CB640" w14:textId="233DD6E1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22 325 754,95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79D398" w14:textId="18B7110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10 220 912,27</w:t>
            </w:r>
          </w:p>
        </w:tc>
        <w:tc>
          <w:tcPr>
            <w:tcW w:w="651" w:type="pct"/>
            <w:vAlign w:val="center"/>
          </w:tcPr>
          <w:p w14:paraId="0EBDFFAD" w14:textId="37D5891A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2484B01" w14:textId="419BBD6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B736F9" w14:textId="4D035E61" w:rsidR="00292587" w:rsidRPr="002265E7" w:rsidRDefault="007E55C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41 523 403,94</w:t>
            </w: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4FB27EB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4C6EF518" w14:textId="347E98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49E26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011B5F" w14:textId="5EA2C12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205D34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4AB9914B" w:rsidR="00292587" w:rsidRPr="00281A7C" w:rsidRDefault="00292587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CEC1F2A" w14:textId="65EE8B97" w:rsidR="00292587" w:rsidRPr="00281A7C" w:rsidRDefault="00061A74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281A7C" w:rsidRDefault="00292587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4834B9"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306BC63D" w:rsidR="00292587" w:rsidRPr="00281A7C" w:rsidRDefault="00292587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12 650 181,76</w:t>
            </w:r>
          </w:p>
        </w:tc>
        <w:tc>
          <w:tcPr>
            <w:tcW w:w="651" w:type="pct"/>
            <w:vAlign w:val="center"/>
          </w:tcPr>
          <w:p w14:paraId="461A69E1" w14:textId="57290DA3" w:rsidR="00292587" w:rsidRPr="00281A7C" w:rsidRDefault="00C71B6E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056C37D" w14:textId="4C51469C" w:rsidR="00292587" w:rsidRPr="00281A7C" w:rsidRDefault="00061A74" w:rsidP="002265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1A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62 936 175,65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620E20B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0395A0A4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18 444 212,17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79B42B9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9 851 593,58</w:t>
            </w:r>
          </w:p>
        </w:tc>
        <w:tc>
          <w:tcPr>
            <w:tcW w:w="651" w:type="pct"/>
            <w:vAlign w:val="center"/>
          </w:tcPr>
          <w:p w14:paraId="3B9DBD02" w14:textId="62D5189B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147F728" w14:textId="761FC38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F9E71" w14:textId="50E198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37 272 542,47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5F7DBAA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559550D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D01FE" w14:textId="2F51045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3085FC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27092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6505405F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2B19B1E2" w14:textId="040B21E4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13CA074E" w14:textId="5800242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7F799DA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5BD777A" w14:textId="5833D2F8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B9162A6" w14:textId="1C2EF4AE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40 071 130,65</w:t>
            </w:r>
          </w:p>
        </w:tc>
      </w:tr>
      <w:tr w:rsidR="006A1931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F619B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5BF10D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68F73C0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228F27D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348DA5DE" w14:textId="294C9C3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842BF4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21024D" w14:textId="36CBC29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65407D24" w14:textId="782A8D3E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35BE30" w14:textId="1BAA09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E4854B9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6A1931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71F332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577EFDEC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7F00076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1B3E8346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20D982A2" w14:textId="7264A67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589EA67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089E89A1" w14:textId="72FFA200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4454CED1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6F17BCF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1F06F488" w14:textId="4263944B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8DFC757" w14:textId="74D34296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38CE5DDC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741E9D70" w14:textId="75202446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6AF6537" w14:textId="48681BB6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33E118B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320B5C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2AA9465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426B2CA" w14:textId="0CECAC09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A8669D" w14:textId="621179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  <w:p w14:paraId="1BA5BA04" w14:textId="60F45D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388F72B" w14:textId="273ABDEA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EF01177" w14:textId="0C891F78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65558AE5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06CD77A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15398C10" w14:textId="07107F21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5C356DD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77340792" w14:textId="37865D0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2847848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07CDF9C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68B349C" w14:textId="12B30267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56E02B6" w14:textId="71AE148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336C3FB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A80627C" w14:textId="3FB1111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882C34C" w14:textId="08866CB7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4DD083C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0982A1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FA6B68" w14:textId="2D938D1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5F731C5" w14:textId="20158DD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424CB45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02593C00" w14:textId="7EF0F34D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D7B9F69" w14:textId="420985A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6E68849A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703F440E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4E65608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2698A4BD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14B2F674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FE94EA4" w14:textId="0F1DFDA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845BE39" w14:textId="345F87C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7292917E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4607C1D9" w:rsidR="00DD3452" w:rsidRPr="00532630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74 472 920,12</w:t>
            </w:r>
          </w:p>
        </w:tc>
        <w:tc>
          <w:tcPr>
            <w:tcW w:w="713" w:type="pct"/>
            <w:vAlign w:val="center"/>
          </w:tcPr>
          <w:p w14:paraId="4B5AF9BC" w14:textId="7B55D06A" w:rsidR="00DD3452" w:rsidRPr="00532630" w:rsidRDefault="00CE12A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174 251 695,94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2CB45334" w:rsidR="00DD3452" w:rsidRPr="00532630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80 298 364,45</w:t>
            </w:r>
          </w:p>
        </w:tc>
        <w:tc>
          <w:tcPr>
            <w:tcW w:w="651" w:type="pct"/>
            <w:vAlign w:val="center"/>
          </w:tcPr>
          <w:p w14:paraId="32B947CA" w14:textId="0C983B12" w:rsidR="00DD3452" w:rsidRPr="00532630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C58AE43" w14:textId="10CAFB8D" w:rsidR="00DD3452" w:rsidRPr="00532630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329 353 820,33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1349CB64" w:rsidR="00DD3452" w:rsidRPr="002265E7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54 825 374,33</w:t>
            </w:r>
          </w:p>
        </w:tc>
        <w:tc>
          <w:tcPr>
            <w:tcW w:w="713" w:type="pct"/>
            <w:vAlign w:val="center"/>
          </w:tcPr>
          <w:p w14:paraId="75D705BF" w14:textId="2231E1AD" w:rsidR="00DD3452" w:rsidRPr="002265E7" w:rsidRDefault="002A216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127 063 441,73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6FB0275" w:rsidR="00DD3452" w:rsidRPr="002265E7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63 506 835,37</w:t>
            </w:r>
          </w:p>
        </w:tc>
        <w:tc>
          <w:tcPr>
            <w:tcW w:w="651" w:type="pct"/>
            <w:vAlign w:val="center"/>
          </w:tcPr>
          <w:p w14:paraId="438A7F3B" w14:textId="2682C18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130 650,00</w:t>
            </w:r>
          </w:p>
        </w:tc>
        <w:tc>
          <w:tcPr>
            <w:tcW w:w="711" w:type="pct"/>
            <w:vAlign w:val="center"/>
          </w:tcPr>
          <w:p w14:paraId="610E1D74" w14:textId="2378F79D" w:rsidR="00DD3452" w:rsidRPr="002265E7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245 726 491,25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70A29BC3" w:rsidR="00DD3452" w:rsidRPr="002265E7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19 647 545,79</w:t>
            </w:r>
          </w:p>
        </w:tc>
        <w:tc>
          <w:tcPr>
            <w:tcW w:w="713" w:type="pct"/>
            <w:vAlign w:val="center"/>
          </w:tcPr>
          <w:p w14:paraId="23F96C64" w14:textId="6960F62E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47 188 254,21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072A9861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16 791 529,08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036117C9" w:rsidR="00DD3452" w:rsidRPr="002265E7" w:rsidRDefault="00D06E0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83 627 329,08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263FF7C" w14:textId="77777777" w:rsidR="00BB29B5" w:rsidRPr="002265E7" w:rsidRDefault="00BB29B5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114D0A19" w14:textId="77777777" w:rsidR="00A7491B" w:rsidRPr="002265E7" w:rsidRDefault="00A7491B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891096" w14:textId="425CE1DE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lastRenderedPageBreak/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001BC513" w:rsidR="00605C8F" w:rsidRPr="002265E7" w:rsidRDefault="00605C8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4FC58B9B" w14:textId="77777777" w:rsidR="005E42AA" w:rsidRPr="002265E7" w:rsidRDefault="005E42AA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2BB0BDF4" w14:textId="7E38453F" w:rsidR="00DB0938" w:rsidRPr="002265E7" w:rsidRDefault="00DB093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436AC5EF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2 516 800,00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5019"/>
        <w:gridCol w:w="2963"/>
      </w:tblGrid>
      <w:tr w:rsidR="002265E7" w:rsidRPr="002265E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Годы реализации муниципальной программы</w:t>
            </w:r>
          </w:p>
        </w:tc>
        <w:tc>
          <w:tcPr>
            <w:tcW w:w="5019" w:type="dxa"/>
            <w:vAlign w:val="center"/>
          </w:tcPr>
          <w:p w14:paraId="60B40FA8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Объем бюджетных ассигнований, выделенный на реализацию подпрограммы 2 «</w:t>
            </w: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2265E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Итого,</w:t>
            </w:r>
          </w:p>
          <w:p w14:paraId="2B97233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</w:tr>
      <w:tr w:rsidR="002265E7" w:rsidRPr="002265E7" w14:paraId="533B3683" w14:textId="77777777" w:rsidTr="00ED483A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19" w:type="dxa"/>
          </w:tcPr>
          <w:p w14:paraId="73497261" w14:textId="3B61A8BC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963" w:type="dxa"/>
          </w:tcPr>
          <w:p w14:paraId="63B5DF0F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65E7" w:rsidRPr="002265E7" w14:paraId="53F6F6D7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21A7274B" w14:textId="2D051823" w:rsidR="00ED483A" w:rsidRPr="00EF061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0617">
              <w:rPr>
                <w:rFonts w:ascii="Times New Roman" w:hAnsi="Times New Roman" w:cs="Times New Roman"/>
                <w:color w:val="FF0000"/>
              </w:rPr>
              <w:t>2022 г.</w:t>
            </w:r>
          </w:p>
        </w:tc>
        <w:tc>
          <w:tcPr>
            <w:tcW w:w="5019" w:type="dxa"/>
          </w:tcPr>
          <w:p w14:paraId="6FC24003" w14:textId="60009253" w:rsidR="00ED483A" w:rsidRPr="00EF0617" w:rsidRDefault="00532630" w:rsidP="002265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0617">
              <w:rPr>
                <w:rFonts w:ascii="Times New Roman" w:hAnsi="Times New Roman" w:cs="Times New Roman"/>
                <w:color w:val="FF0000"/>
              </w:rPr>
              <w:t>1 516 800,00</w:t>
            </w:r>
          </w:p>
        </w:tc>
        <w:tc>
          <w:tcPr>
            <w:tcW w:w="2963" w:type="dxa"/>
          </w:tcPr>
          <w:p w14:paraId="0A1EA044" w14:textId="27B51E7A" w:rsidR="00ED483A" w:rsidRPr="00EF0617" w:rsidRDefault="00532630" w:rsidP="002265E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EF0617">
              <w:rPr>
                <w:rFonts w:ascii="Times New Roman" w:hAnsi="Times New Roman" w:cs="Times New Roman"/>
                <w:color w:val="FF0000"/>
              </w:rPr>
              <w:t>1 516 800,00</w:t>
            </w:r>
          </w:p>
        </w:tc>
      </w:tr>
      <w:tr w:rsidR="002265E7" w:rsidRPr="002265E7" w14:paraId="2E4BD5FD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4688167" w14:textId="6EEEE205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5019" w:type="dxa"/>
          </w:tcPr>
          <w:p w14:paraId="441E7C68" w14:textId="0C863E32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  <w:tc>
          <w:tcPr>
            <w:tcW w:w="2963" w:type="dxa"/>
          </w:tcPr>
          <w:p w14:paraId="60977AB8" w14:textId="06E45CB8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57B148EB" w14:textId="77777777" w:rsidTr="00ED483A">
        <w:trPr>
          <w:trHeight w:val="218"/>
        </w:trPr>
        <w:tc>
          <w:tcPr>
            <w:tcW w:w="1685" w:type="dxa"/>
            <w:vAlign w:val="center"/>
          </w:tcPr>
          <w:p w14:paraId="2E5D0907" w14:textId="0DDEC49A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2024 г.</w:t>
            </w:r>
          </w:p>
        </w:tc>
        <w:tc>
          <w:tcPr>
            <w:tcW w:w="5019" w:type="dxa"/>
          </w:tcPr>
          <w:p w14:paraId="4A931C14" w14:textId="44FFEA9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08A90855" w14:textId="1B0E662B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FFDBE86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747475F" w14:textId="5D6D4DF7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2025 г.</w:t>
            </w:r>
          </w:p>
        </w:tc>
        <w:tc>
          <w:tcPr>
            <w:tcW w:w="5019" w:type="dxa"/>
          </w:tcPr>
          <w:p w14:paraId="0943839C" w14:textId="16E81DA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7E1CBFF9" w14:textId="4213AF4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2F549E6" w14:textId="77777777" w:rsidTr="00ED483A">
        <w:trPr>
          <w:trHeight w:val="140"/>
        </w:trPr>
        <w:tc>
          <w:tcPr>
            <w:tcW w:w="1685" w:type="dxa"/>
            <w:vAlign w:val="center"/>
          </w:tcPr>
          <w:p w14:paraId="3482F951" w14:textId="64E337C0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2026 г.</w:t>
            </w:r>
          </w:p>
        </w:tc>
        <w:tc>
          <w:tcPr>
            <w:tcW w:w="5019" w:type="dxa"/>
          </w:tcPr>
          <w:p w14:paraId="5902334D" w14:textId="284A4B15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4476F72D" w14:textId="652E7EB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0CA8D00C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3720BA26" w14:textId="2755F396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2027 г.</w:t>
            </w:r>
          </w:p>
        </w:tc>
        <w:tc>
          <w:tcPr>
            <w:tcW w:w="5019" w:type="dxa"/>
          </w:tcPr>
          <w:p w14:paraId="658E8265" w14:textId="00E72FBC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272D3722" w14:textId="33E2D9CE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ED483A" w:rsidRPr="002265E7" w14:paraId="48D9DCC3" w14:textId="77777777" w:rsidTr="00ED483A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Всего, руб.</w:t>
            </w:r>
          </w:p>
        </w:tc>
        <w:tc>
          <w:tcPr>
            <w:tcW w:w="5019" w:type="dxa"/>
            <w:vAlign w:val="center"/>
          </w:tcPr>
          <w:p w14:paraId="573546AE" w14:textId="7FABF0E5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2 516 800,00</w:t>
            </w:r>
          </w:p>
        </w:tc>
        <w:tc>
          <w:tcPr>
            <w:tcW w:w="2963" w:type="dxa"/>
            <w:vAlign w:val="center"/>
          </w:tcPr>
          <w:p w14:paraId="31E5682A" w14:textId="7EF8CBF3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630">
              <w:rPr>
                <w:rFonts w:ascii="Times New Roman" w:hAnsi="Times New Roman" w:cs="Times New Roman"/>
                <w:color w:val="auto"/>
              </w:rPr>
              <w:t>2 516 800,00</w:t>
            </w:r>
          </w:p>
        </w:tc>
      </w:tr>
    </w:tbl>
    <w:p w14:paraId="68F705F2" w14:textId="77777777" w:rsidR="00DB0938" w:rsidRPr="002265E7" w:rsidRDefault="00DB0938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5B5A9A3" w14:textId="7E401D1C" w:rsidR="005E42AA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7221B106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DA12F9">
        <w:rPr>
          <w:color w:val="auto"/>
          <w:spacing w:val="0"/>
          <w:sz w:val="28"/>
          <w:szCs w:val="28"/>
        </w:rPr>
        <w:t>914 399,97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2265E7" w:rsidRPr="002265E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  <w:p w14:paraId="5D23685F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0B15491A" w14:textId="77777777" w:rsidTr="00880F52">
        <w:tc>
          <w:tcPr>
            <w:tcW w:w="933" w:type="pct"/>
            <w:vAlign w:val="center"/>
          </w:tcPr>
          <w:p w14:paraId="6C9E0B23" w14:textId="4A6C5B25" w:rsidR="00880F52" w:rsidRPr="002265E7" w:rsidRDefault="00586718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  <w:vAlign w:val="center"/>
          </w:tcPr>
          <w:p w14:paraId="061E2053" w14:textId="4C48D8B9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750" w:type="pct"/>
            <w:vAlign w:val="center"/>
          </w:tcPr>
          <w:p w14:paraId="4CCAC520" w14:textId="0B3D83F5" w:rsidR="00880F52" w:rsidRPr="002265E7" w:rsidRDefault="000202A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145 712,67</w:t>
            </w:r>
          </w:p>
        </w:tc>
        <w:tc>
          <w:tcPr>
            <w:tcW w:w="785" w:type="pct"/>
          </w:tcPr>
          <w:p w14:paraId="19F94694" w14:textId="04F9B402" w:rsidR="00532630" w:rsidRPr="002265E7" w:rsidRDefault="000202A3" w:rsidP="005326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159 782,67</w:t>
            </w:r>
          </w:p>
        </w:tc>
      </w:tr>
      <w:tr w:rsidR="002265E7" w:rsidRPr="002265E7" w14:paraId="2FAA6B14" w14:textId="77777777" w:rsidTr="00A1524F">
        <w:tc>
          <w:tcPr>
            <w:tcW w:w="933" w:type="pct"/>
          </w:tcPr>
          <w:p w14:paraId="4AA219CD" w14:textId="7D01571A" w:rsidR="00586718" w:rsidRPr="002265E7" w:rsidRDefault="0058671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47C49F85" w14:textId="3A5639D5" w:rsidR="00586718" w:rsidRPr="002265E7" w:rsidRDefault="00E06E3C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32876DB7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76D6F60E" w14:textId="626C6A33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2F622C3" w14:textId="77777777" w:rsidTr="00A1524F">
        <w:tc>
          <w:tcPr>
            <w:tcW w:w="933" w:type="pct"/>
          </w:tcPr>
          <w:p w14:paraId="37DA98A3" w14:textId="006C5C96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581E6BCC" w14:textId="3E1DC0AB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21A4EFF" w14:textId="6D63CF6E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665556F7" w14:textId="1D83C388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03A06A99" w14:textId="77777777" w:rsidTr="00A1524F">
        <w:tc>
          <w:tcPr>
            <w:tcW w:w="933" w:type="pct"/>
          </w:tcPr>
          <w:p w14:paraId="67A0754B" w14:textId="2A98DA65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11C0B22A" w14:textId="0E8A5E1A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87FA8A9" w14:textId="1102817C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4762619" w14:textId="01B96A64" w:rsidR="00B24058" w:rsidRPr="002265E7" w:rsidRDefault="00B24058" w:rsidP="002265E7">
            <w:pPr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4FE956AF" w14:textId="77777777" w:rsidTr="00A1524F">
        <w:tc>
          <w:tcPr>
            <w:tcW w:w="933" w:type="pct"/>
          </w:tcPr>
          <w:p w14:paraId="05E223A5" w14:textId="763398B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1532" w:type="pct"/>
          </w:tcPr>
          <w:p w14:paraId="4F7E2F22" w14:textId="07C9C9F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E2FC0D" w14:textId="3807196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3CEC4A40" w14:textId="36720D45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7D4E5B9" w14:textId="77777777" w:rsidTr="00A1524F">
        <w:tc>
          <w:tcPr>
            <w:tcW w:w="933" w:type="pct"/>
          </w:tcPr>
          <w:p w14:paraId="153150CF" w14:textId="1CBBF3B7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1532" w:type="pct"/>
          </w:tcPr>
          <w:p w14:paraId="1FF5DCE8" w14:textId="0925A9A1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28839A" w14:textId="607DB6E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B4D842F" w14:textId="494545DE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880F52" w:rsidRPr="002265E7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750" w:type="pct"/>
            <w:vAlign w:val="center"/>
          </w:tcPr>
          <w:p w14:paraId="3ED6F825" w14:textId="1A06B784" w:rsidR="00880F52" w:rsidRPr="002265E7" w:rsidRDefault="00A85B5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829 979,97</w:t>
            </w:r>
          </w:p>
        </w:tc>
        <w:tc>
          <w:tcPr>
            <w:tcW w:w="785" w:type="pct"/>
            <w:vAlign w:val="center"/>
          </w:tcPr>
          <w:p w14:paraId="57FA8273" w14:textId="71520874" w:rsidR="00880F52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</w:t>
            </w:r>
            <w:r w:rsidR="00A85B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399,97</w:t>
            </w:r>
          </w:p>
        </w:tc>
      </w:tr>
    </w:tbl>
    <w:p w14:paraId="71B19CDC" w14:textId="77777777" w:rsidR="0042213F" w:rsidRPr="002265E7" w:rsidRDefault="0042213F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5DB8BFF" w14:textId="77777777" w:rsidR="00777942" w:rsidRPr="002265E7" w:rsidRDefault="00777942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секвестрование бюджетных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3B86" w14:textId="77777777" w:rsidR="0045444F" w:rsidRDefault="0045444F" w:rsidP="000505BF">
      <w:r>
        <w:separator/>
      </w:r>
    </w:p>
  </w:endnote>
  <w:endnote w:type="continuationSeparator" w:id="0">
    <w:p w14:paraId="467060D8" w14:textId="77777777" w:rsidR="0045444F" w:rsidRDefault="0045444F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E95E" w14:textId="77777777" w:rsidR="0045444F" w:rsidRDefault="0045444F"/>
  </w:footnote>
  <w:footnote w:type="continuationSeparator" w:id="0">
    <w:p w14:paraId="275C203B" w14:textId="77777777" w:rsidR="0045444F" w:rsidRDefault="00454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6893"/>
    <w:rsid w:val="0002756C"/>
    <w:rsid w:val="00027B7E"/>
    <w:rsid w:val="00030D26"/>
    <w:rsid w:val="00032108"/>
    <w:rsid w:val="00034092"/>
    <w:rsid w:val="00037A8C"/>
    <w:rsid w:val="00037C21"/>
    <w:rsid w:val="000405CB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1A74"/>
    <w:rsid w:val="00062AB6"/>
    <w:rsid w:val="00064128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1E12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0F3EEA"/>
    <w:rsid w:val="001007A2"/>
    <w:rsid w:val="001008AD"/>
    <w:rsid w:val="0010107D"/>
    <w:rsid w:val="001014C2"/>
    <w:rsid w:val="00101624"/>
    <w:rsid w:val="0010594C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1770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81A7C"/>
    <w:rsid w:val="00292587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56F0"/>
    <w:rsid w:val="0036037C"/>
    <w:rsid w:val="0036080A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125D"/>
    <w:rsid w:val="003A247D"/>
    <w:rsid w:val="003A29D4"/>
    <w:rsid w:val="003A50CF"/>
    <w:rsid w:val="003A627A"/>
    <w:rsid w:val="003A7C77"/>
    <w:rsid w:val="003B05B5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6765"/>
    <w:rsid w:val="00431478"/>
    <w:rsid w:val="00433223"/>
    <w:rsid w:val="004357CB"/>
    <w:rsid w:val="004366F8"/>
    <w:rsid w:val="0043764A"/>
    <w:rsid w:val="004439DE"/>
    <w:rsid w:val="00445146"/>
    <w:rsid w:val="00451816"/>
    <w:rsid w:val="004523F8"/>
    <w:rsid w:val="0045444F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3307"/>
    <w:rsid w:val="00496B4E"/>
    <w:rsid w:val="00497880"/>
    <w:rsid w:val="004A0A7E"/>
    <w:rsid w:val="004A4F0D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778C"/>
    <w:rsid w:val="00537EA5"/>
    <w:rsid w:val="00542AD3"/>
    <w:rsid w:val="005430DB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38E5"/>
    <w:rsid w:val="00576461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3EA"/>
    <w:rsid w:val="005F0741"/>
    <w:rsid w:val="005F10FA"/>
    <w:rsid w:val="005F2491"/>
    <w:rsid w:val="005F2697"/>
    <w:rsid w:val="005F2E3F"/>
    <w:rsid w:val="0060107B"/>
    <w:rsid w:val="00602139"/>
    <w:rsid w:val="006048FD"/>
    <w:rsid w:val="00604D33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A1931"/>
    <w:rsid w:val="006A41B4"/>
    <w:rsid w:val="006A4A98"/>
    <w:rsid w:val="006A64C4"/>
    <w:rsid w:val="006B06E3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56E3"/>
    <w:rsid w:val="006E0C0A"/>
    <w:rsid w:val="006E230A"/>
    <w:rsid w:val="006E316A"/>
    <w:rsid w:val="006E4A35"/>
    <w:rsid w:val="006E4E62"/>
    <w:rsid w:val="006F09BF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2263"/>
    <w:rsid w:val="007B4E41"/>
    <w:rsid w:val="007B66B3"/>
    <w:rsid w:val="007C0837"/>
    <w:rsid w:val="007C0C5E"/>
    <w:rsid w:val="007E0767"/>
    <w:rsid w:val="007E39AC"/>
    <w:rsid w:val="007E3FA4"/>
    <w:rsid w:val="007E4169"/>
    <w:rsid w:val="007E55C5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EDE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7E2"/>
    <w:rsid w:val="00BC59F4"/>
    <w:rsid w:val="00BC5A76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66EC"/>
    <w:rsid w:val="00CE69C3"/>
    <w:rsid w:val="00CE77D0"/>
    <w:rsid w:val="00CF193E"/>
    <w:rsid w:val="00CF3175"/>
    <w:rsid w:val="00CF3289"/>
    <w:rsid w:val="00CF3B9C"/>
    <w:rsid w:val="00D05D15"/>
    <w:rsid w:val="00D062EF"/>
    <w:rsid w:val="00D06E00"/>
    <w:rsid w:val="00D13E12"/>
    <w:rsid w:val="00D14D1F"/>
    <w:rsid w:val="00D208A2"/>
    <w:rsid w:val="00D237FF"/>
    <w:rsid w:val="00D31E5C"/>
    <w:rsid w:val="00D33519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13D14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1790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E73"/>
    <w:rsid w:val="00FA30F6"/>
    <w:rsid w:val="00FA34CC"/>
    <w:rsid w:val="00FA4E17"/>
    <w:rsid w:val="00FB02F3"/>
    <w:rsid w:val="00FB2669"/>
    <w:rsid w:val="00FB3FDE"/>
    <w:rsid w:val="00FC1EC5"/>
    <w:rsid w:val="00FC2C29"/>
    <w:rsid w:val="00FC7D69"/>
    <w:rsid w:val="00FC7EA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19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431</cp:revision>
  <cp:lastPrinted>2022-06-22T06:37:00Z</cp:lastPrinted>
  <dcterms:created xsi:type="dcterms:W3CDTF">2015-12-17T13:59:00Z</dcterms:created>
  <dcterms:modified xsi:type="dcterms:W3CDTF">2022-08-15T12:06:00Z</dcterms:modified>
</cp:coreProperties>
</file>